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22F55">
      <w:pPr>
        <w:spacing w:before="480" w:after="480" w:line="288" w:lineRule="auto"/>
        <w:ind w:left="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>豫北医学院财务信息化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>-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金蝶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>财务系统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采购项目技术规格书</w:t>
      </w:r>
      <w:bookmarkStart w:id="5" w:name="_GoBack"/>
      <w:bookmarkEnd w:id="5"/>
    </w:p>
    <w:p w14:paraId="25843385">
      <w:pPr>
        <w:spacing w:before="300" w:after="120" w:line="288" w:lineRule="auto"/>
        <w:ind w:left="0"/>
        <w:jc w:val="left"/>
        <w:outlineLvl w:val="2"/>
        <w:rPr>
          <w:rFonts w:hint="eastAsia" w:ascii="微软雅黑" w:hAnsi="微软雅黑" w:eastAsia="微软雅黑" w:cs="微软雅黑"/>
          <w:b/>
          <w:sz w:val="30"/>
        </w:rPr>
      </w:pPr>
      <w:bookmarkStart w:id="0" w:name="heading_4"/>
      <w:r>
        <w:rPr>
          <w:rFonts w:hint="eastAsia" w:ascii="微软雅黑" w:hAnsi="微软雅黑" w:eastAsia="微软雅黑" w:cs="微软雅黑"/>
          <w:b/>
          <w:sz w:val="30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b/>
          <w:sz w:val="30"/>
        </w:rPr>
        <w:t>采购内容清单</w:t>
      </w:r>
      <w:bookmarkEnd w:id="0"/>
    </w:p>
    <w:p w14:paraId="0795110A">
      <w:pPr>
        <w:spacing w:before="300" w:after="120" w:line="288" w:lineRule="auto"/>
        <w:ind w:left="0"/>
        <w:jc w:val="left"/>
        <w:outlineLvl w:val="2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val="en-US" w:eastAsia="zh-CN"/>
        </w:rPr>
        <w:t>（1）</w:t>
      </w:r>
      <w:r>
        <w:rPr>
          <w:rFonts w:hint="eastAsia" w:ascii="微软雅黑" w:hAnsi="微软雅黑" w:eastAsia="微软雅黑" w:cs="微软雅黑"/>
          <w:sz w:val="22"/>
        </w:rPr>
        <w:t>金蝶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云</w:t>
      </w:r>
      <w:r>
        <w:rPr>
          <w:rFonts w:hint="eastAsia" w:ascii="微软雅黑" w:hAnsi="微软雅黑" w:eastAsia="微软雅黑" w:cs="微软雅黑"/>
          <w:sz w:val="22"/>
        </w:rPr>
        <w:t>星空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企业版（买断）</w:t>
      </w:r>
      <w:r>
        <w:rPr>
          <w:rFonts w:hint="eastAsia" w:ascii="微软雅黑" w:hAnsi="微软雅黑" w:eastAsia="微软雅黑" w:cs="微软雅黑"/>
          <w:sz w:val="22"/>
        </w:rPr>
        <w:t>：总账模块、报表模块，合计 15 个并发用户授权；</w:t>
      </w:r>
    </w:p>
    <w:p w14:paraId="6A3A42B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金蝶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AI套件（本地部署，按年付费）</w:t>
      </w:r>
      <w:r>
        <w:rPr>
          <w:rFonts w:hint="eastAsia" w:ascii="微软雅黑" w:hAnsi="微软雅黑" w:eastAsia="微软雅黑" w:cs="微软雅黑"/>
          <w:sz w:val="22"/>
        </w:rPr>
        <w:t>：总账模块、报表模块，合计 15 个并发用户授权；</w:t>
      </w:r>
    </w:p>
    <w:p w14:paraId="71F001BC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  <w:lang w:eastAsia="zh-CN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系统本地化部署、初始化配置、参数调试；系统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需为</w:t>
      </w:r>
      <w:r>
        <w:rPr>
          <w:rFonts w:hint="eastAsia" w:ascii="微软雅黑" w:hAnsi="微软雅黑" w:eastAsia="微软雅黑" w:cs="微软雅黑"/>
          <w:sz w:val="22"/>
        </w:rPr>
        <w:t>正式商用授权版本，禁止试用版、精简版、云端公有云租赁版本</w:t>
      </w:r>
      <w:r>
        <w:rPr>
          <w:rFonts w:hint="eastAsia" w:ascii="微软雅黑" w:hAnsi="微软雅黑" w:eastAsia="微软雅黑" w:cs="微软雅黑"/>
          <w:sz w:val="22"/>
          <w:lang w:eastAsia="zh-CN"/>
        </w:rPr>
        <w:t>。</w:t>
      </w:r>
    </w:p>
    <w:p w14:paraId="08C0D040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开展致远 OA 费控系统与金蝶 AI 星空财务系统双向接口定制开发、联调测试与落地集成工作：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</w:rPr>
        <w:t>由致远 OA 开发报销审批单据结构化数据推送，单据审批办结后自动推送至金蝶 AI 星空，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按照金蝶凭证</w:t>
      </w:r>
      <w:r>
        <w:rPr>
          <w:rFonts w:hint="eastAsia" w:ascii="微软雅黑" w:hAnsi="微软雅黑" w:eastAsia="微软雅黑" w:cs="微软雅黑"/>
          <w:sz w:val="22"/>
        </w:rPr>
        <w:t>规则自动生成记账凭证；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由</w:t>
      </w:r>
      <w:r>
        <w:rPr>
          <w:rFonts w:hint="eastAsia" w:ascii="微软雅黑" w:hAnsi="微软雅黑" w:eastAsia="微软雅黑" w:cs="微软雅黑"/>
          <w:sz w:val="22"/>
        </w:rPr>
        <w:t>金蝶 AI 星空开发溯源跳转接口，支持财务凭证一键反向关联调取对应 OA 原始报销单据，直接跳转至 OA 系统查看报销填报信息、完整审批流程及配套电子附件资料，实现两套系统业务数据互通、单据凭证互查溯源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；</w:t>
      </w:r>
    </w:p>
    <w:p w14:paraId="18FB0E59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2009-2026 年度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科发系统与</w:t>
      </w:r>
      <w:r>
        <w:rPr>
          <w:rFonts w:hint="eastAsia" w:ascii="微软雅黑" w:hAnsi="微软雅黑" w:eastAsia="微软雅黑" w:cs="微软雅黑"/>
          <w:sz w:val="22"/>
        </w:rPr>
        <w:t>天财系统历史财务数据迁移、校验核对；</w:t>
      </w:r>
    </w:p>
    <w:p w14:paraId="37DCF9B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全员操作培训、运维培训、项目上线保障；</w:t>
      </w:r>
    </w:p>
    <w:p w14:paraId="4FFFE1D7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  <w:lang w:eastAsia="zh-CN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不少于 3 年原厂级质保运维服务、配套技术资料交付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；</w:t>
      </w:r>
    </w:p>
    <w:p w14:paraId="0961A571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平台具备良好扩展性，后期可按需增补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全面</w:t>
      </w:r>
      <w:r>
        <w:rPr>
          <w:rFonts w:hint="eastAsia" w:ascii="微软雅黑" w:hAnsi="微软雅黑" w:eastAsia="微软雅黑" w:cs="微软雅黑"/>
          <w:sz w:val="22"/>
        </w:rPr>
        <w:t>预算配套模块</w:t>
      </w:r>
      <w:r>
        <w:rPr>
          <w:rFonts w:hint="eastAsia" w:ascii="微软雅黑" w:hAnsi="微软雅黑" w:eastAsia="微软雅黑" w:cs="微软雅黑"/>
          <w:sz w:val="22"/>
          <w:lang w:eastAsia="zh-CN"/>
        </w:rPr>
        <w:t>。</w:t>
      </w:r>
    </w:p>
    <w:p w14:paraId="060C52C7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</w:rPr>
      </w:pPr>
      <w:bookmarkStart w:id="1" w:name="heading_6"/>
      <w:r>
        <w:rPr>
          <w:rFonts w:hint="eastAsia" w:ascii="微软雅黑" w:hAnsi="微软雅黑" w:eastAsia="微软雅黑" w:cs="微软雅黑"/>
          <w:b/>
          <w:sz w:val="32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sz w:val="32"/>
        </w:rPr>
        <w:t>各模块详细功能技术要求</w:t>
      </w:r>
      <w:bookmarkEnd w:id="1"/>
    </w:p>
    <w:p w14:paraId="3DD9D254">
      <w:pPr>
        <w:spacing w:before="300" w:after="120" w:line="288" w:lineRule="auto"/>
        <w:ind w:left="0"/>
        <w:jc w:val="left"/>
        <w:outlineLvl w:val="2"/>
        <w:rPr>
          <w:rFonts w:hint="eastAsia" w:ascii="微软雅黑" w:hAnsi="微软雅黑" w:eastAsia="微软雅黑" w:cs="微软雅黑"/>
        </w:rPr>
      </w:pPr>
      <w:bookmarkStart w:id="2" w:name="heading_7"/>
      <w:r>
        <w:rPr>
          <w:rFonts w:hint="eastAsia" w:ascii="微软雅黑" w:hAnsi="微软雅黑" w:eastAsia="微软雅黑" w:cs="微软雅黑"/>
          <w:b/>
          <w:sz w:val="3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30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b/>
          <w:sz w:val="30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sz w:val="30"/>
        </w:rPr>
        <w:t xml:space="preserve"> 总账管理模块</w:t>
      </w:r>
      <w:bookmarkEnd w:id="2"/>
    </w:p>
    <w:p w14:paraId="166D92AF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凭证全生命周期管控：支持手工录入、导入、审核、过账、反过账、作废、红冲、删除操作，关键操作留痕日志；</w:t>
      </w:r>
    </w:p>
    <w:p w14:paraId="01D69A80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期末自动化处理：自动结转损益、期末汇兑损益调整、损益结转一键执行；</w:t>
      </w:r>
    </w:p>
    <w:p w14:paraId="51F768F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多维度辅助核算：支持部门、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预算</w:t>
      </w:r>
      <w:r>
        <w:rPr>
          <w:rFonts w:hint="eastAsia" w:ascii="微软雅黑" w:hAnsi="微软雅黑" w:eastAsia="微软雅黑" w:cs="微软雅黑"/>
          <w:sz w:val="22"/>
        </w:rPr>
        <w:t>项目、往来单位、费用类型、资金来源等多维度组合核算，适配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学校</w:t>
      </w:r>
      <w:r>
        <w:rPr>
          <w:rFonts w:hint="eastAsia" w:ascii="微软雅黑" w:hAnsi="微软雅黑" w:eastAsia="微软雅黑" w:cs="微软雅黑"/>
          <w:sz w:val="22"/>
        </w:rPr>
        <w:t>科研项目、专项经费管理模式；</w:t>
      </w:r>
    </w:p>
    <w:p w14:paraId="6253F4A3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多账簿架构：支持主核算账簿与对外报送报告账簿分离，一套数据满足校内核算、财政上报多口径需求；</w:t>
      </w:r>
    </w:p>
    <w:p w14:paraId="39446A64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现金流量自动归集：自动匹配业务分录标记现金流量项目，一键出具现金流量台账与报表；</w:t>
      </w:r>
    </w:p>
    <w:p w14:paraId="046D39F8">
      <w:pPr>
        <w:spacing w:before="300" w:after="120" w:line="288" w:lineRule="auto"/>
        <w:ind w:left="0"/>
        <w:jc w:val="left"/>
        <w:outlineLvl w:val="2"/>
        <w:rPr>
          <w:rFonts w:hint="eastAsia" w:ascii="微软雅黑" w:hAnsi="微软雅黑" w:eastAsia="微软雅黑" w:cs="微软雅黑"/>
        </w:rPr>
      </w:pPr>
      <w:bookmarkStart w:id="3" w:name="heading_8"/>
      <w:r>
        <w:rPr>
          <w:rFonts w:hint="eastAsia" w:ascii="微软雅黑" w:hAnsi="微软雅黑" w:eastAsia="微软雅黑" w:cs="微软雅黑"/>
          <w:b/>
          <w:sz w:val="3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30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sz w:val="30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sz w:val="30"/>
        </w:rPr>
        <w:t>报表管理模块</w:t>
      </w:r>
      <w:bookmarkEnd w:id="3"/>
    </w:p>
    <w:p w14:paraId="6FFA19E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预置国标财务报表：内置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民间非营利组织</w:t>
      </w:r>
      <w:r>
        <w:rPr>
          <w:rFonts w:hint="eastAsia" w:ascii="微软雅黑" w:hAnsi="微软雅黑" w:eastAsia="微软雅黑" w:cs="微软雅黑"/>
          <w:sz w:val="22"/>
        </w:rPr>
        <w:t>会计准则下资产负债表、利润表、现金流量表标准模板，适配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学校</w:t>
      </w:r>
      <w:r>
        <w:rPr>
          <w:rFonts w:hint="eastAsia" w:ascii="微软雅黑" w:hAnsi="微软雅黑" w:eastAsia="微软雅黑" w:cs="微软雅黑"/>
          <w:sz w:val="22"/>
        </w:rPr>
        <w:t>财务核算制度；</w:t>
      </w:r>
    </w:p>
    <w:p w14:paraId="7F529C35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可视化自定义报表：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支持跨年度生成学年报表；</w:t>
      </w:r>
      <w:r>
        <w:rPr>
          <w:rFonts w:hint="eastAsia" w:ascii="微软雅黑" w:hAnsi="微软雅黑" w:eastAsia="微软雅黑" w:cs="微软雅黑"/>
          <w:sz w:val="22"/>
        </w:rPr>
        <w:t>支持财务人员拖拽式自定义报表样式、取数公式、统计口径；</w:t>
      </w:r>
    </w:p>
    <w:p w14:paraId="6AC546F9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报表权限管控：按用户分配报表查看、编辑、提交权限，支持多窗口并行查看；</w:t>
      </w:r>
    </w:p>
    <w:p w14:paraId="219C13B0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报表审批流程：支持报表编制、提交、多级线上审核、驳回重编全流程留痕。</w:t>
      </w:r>
    </w:p>
    <w:p w14:paraId="31F0D532">
      <w:pPr>
        <w:spacing w:before="300" w:after="120" w:line="288" w:lineRule="auto"/>
        <w:ind w:left="0"/>
        <w:jc w:val="left"/>
        <w:outlineLvl w:val="2"/>
        <w:rPr>
          <w:rFonts w:hint="eastAsia" w:ascii="微软雅黑" w:hAnsi="微软雅黑" w:eastAsia="微软雅黑" w:cs="微软雅黑"/>
        </w:rPr>
      </w:pPr>
      <w:bookmarkStart w:id="4" w:name="heading_12"/>
      <w:r>
        <w:rPr>
          <w:rFonts w:hint="eastAsia" w:ascii="微软雅黑" w:hAnsi="微软雅黑" w:eastAsia="微软雅黑" w:cs="微软雅黑"/>
          <w:b/>
          <w:sz w:val="30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b/>
          <w:sz w:val="30"/>
        </w:rPr>
        <w:t>核心对接业务逻辑</w:t>
      </w:r>
      <w:bookmarkEnd w:id="4"/>
    </w:p>
    <w:p w14:paraId="3E524AEF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OA 推送数据至金蝶自动制单：致远 OA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开发</w:t>
      </w:r>
      <w:r>
        <w:rPr>
          <w:rFonts w:hint="eastAsia" w:ascii="微软雅黑" w:hAnsi="微软雅黑" w:eastAsia="微软雅黑" w:cs="微软雅黑"/>
          <w:sz w:val="22"/>
        </w:rPr>
        <w:t xml:space="preserve"> 报销单据完成全部审批流程后，系统自动推送单据结构化数据至金蝶接口，匹配预设凭证模板自动生成正式财务凭证；</w:t>
      </w:r>
    </w:p>
    <w:p w14:paraId="4148267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金蝶凭证信息回写 OA：金蝶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 xml:space="preserve">开发 </w:t>
      </w:r>
      <w:r>
        <w:rPr>
          <w:rFonts w:hint="eastAsia" w:ascii="微软雅黑" w:hAnsi="微软雅黑" w:eastAsia="微软雅黑" w:cs="微软雅黑"/>
          <w:sz w:val="22"/>
        </w:rPr>
        <w:t>成功生成凭证后，将凭证编号、凭证状态实时回写到 OA 对应报销单据页面，实现业务单据与财务凭证一一绑定；</w:t>
      </w:r>
    </w:p>
    <w:p w14:paraId="4F128066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凭证反向溯源查询：在金蝶系统打开对应凭证，可一键跳转至 OA 查看原始报销单、审批流程记录、电子附件资料；</w:t>
      </w:r>
    </w:p>
    <w:p w14:paraId="1FB2C232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2"/>
        </w:rPr>
        <w:t>基础档案双向同步：部门架构、人员信息、项目档案、往来单位等基础档案支持定时自动同步或手动触发同步，保证两套系统基础数据一致。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9883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E77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CFE703A"/>
    <w:rsid w:val="0DB63CAB"/>
    <w:rsid w:val="15F2515D"/>
    <w:rsid w:val="272A1017"/>
    <w:rsid w:val="33996F22"/>
    <w:rsid w:val="342A3197"/>
    <w:rsid w:val="52A97D57"/>
    <w:rsid w:val="580E62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1194</Words>
  <Characters>1217</Characters>
  <TotalTime>1</TotalTime>
  <ScaleCrop>false</ScaleCrop>
  <LinksUpToDate>false</LinksUpToDate>
  <CharactersWithSpaces>1248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2026-08-07T13:20:00Z</dcterms:created>
  <dc:creator>Apache POI</dc:creator>
  <cp:lastModifiedBy>喊我刘肉肉</cp:lastModifiedBy>
  <dcterms:modified xsi:type="dcterms:W3CDTF">2026-08-13T13:58:14Z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{"Label":"1","ContentProducer":"001191110102MACQD9K64010000","ProduceID":"7671279013021420472","ReservedCode1":"","ContentPropagator":"","PropagateID":"","ReservedCode2":""}</vt:lpwstr>
  </property>
  <property fmtid="{D5CDD505-2E9C-101B-9397-08002B2CF9AE}" pid="3" name="KSOTemplateDocerSaveRecord">
    <vt:lpwstr>eyJoZGlkIjoiNThjZjJlMDA4NjZmMDQ5MjllMjFmYWMxOWZhZTM2NjkiLCJ1c2VySWQiOiI1MDQ4NDY1NTkifQ==</vt:lpwstr>
  </property>
  <property fmtid="{D5CDD505-2E9C-101B-9397-08002B2CF9AE}" pid="4" name="KSOProductBuildVer">
    <vt:lpwstr>2052-12.1.0.26936</vt:lpwstr>
  </property>
  <property fmtid="{D5CDD505-2E9C-101B-9397-08002B2CF9AE}" pid="5" name="ICV">
    <vt:lpwstr>29A9ECC346AD4677A5350EAEFCF81319_12</vt:lpwstr>
  </property>
</Properties>
</file>